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10DA9" w14:textId="6A688BEC" w:rsidR="005E435A" w:rsidRDefault="005E435A" w:rsidP="005E435A">
      <w:pPr>
        <w:pStyle w:val="Title"/>
      </w:pPr>
      <w:r>
        <w:t>Marin County Peace Conversion Commission</w:t>
      </w:r>
    </w:p>
    <w:p w14:paraId="467D3F77" w14:textId="77777777" w:rsidR="00495BEE" w:rsidRDefault="006339DA" w:rsidP="006339DA">
      <w:pPr>
        <w:pStyle w:val="Title"/>
        <w:rPr>
          <w:sz w:val="20"/>
        </w:rPr>
      </w:pPr>
      <w:r>
        <w:t>Marin County Board of Supervisor</w:t>
      </w:r>
      <w:r w:rsidR="00F86F06">
        <w:t>s</w:t>
      </w:r>
      <w:r w:rsidR="00495BEE">
        <w:t>,</w:t>
      </w:r>
      <w:r w:rsidR="00F86F06">
        <w:t xml:space="preserve"> Room 329, Marin County Civic </w:t>
      </w:r>
      <w:r>
        <w:t>Center</w:t>
      </w:r>
      <w:r w:rsidR="00495BEE">
        <w:t xml:space="preserve"> </w:t>
      </w:r>
      <w:r>
        <w:rPr>
          <w:sz w:val="20"/>
        </w:rPr>
        <w:t>San Rafael, CA 94903</w:t>
      </w:r>
    </w:p>
    <w:p w14:paraId="5C25BBE6" w14:textId="0C76D95B" w:rsidR="006339DA" w:rsidRDefault="006339DA" w:rsidP="006339DA">
      <w:pPr>
        <w:pStyle w:val="Title"/>
      </w:pPr>
      <w:r>
        <w:rPr>
          <w:sz w:val="20"/>
        </w:rPr>
        <w:t>Telephone: (415) 473-7331</w:t>
      </w:r>
      <w:r w:rsidR="00495BEE">
        <w:rPr>
          <w:sz w:val="20"/>
        </w:rPr>
        <w:t>,</w:t>
      </w:r>
      <w:r>
        <w:rPr>
          <w:sz w:val="20"/>
        </w:rPr>
        <w:t xml:space="preserve"> FAX: (415) 473-3645</w:t>
      </w:r>
    </w:p>
    <w:p w14:paraId="3BECE9C2" w14:textId="77777777" w:rsidR="006339DA" w:rsidRPr="00F86F06" w:rsidRDefault="006339DA" w:rsidP="006339DA">
      <w:pPr>
        <w:pStyle w:val="Title"/>
        <w:rPr>
          <w:sz w:val="18"/>
          <w:szCs w:val="18"/>
        </w:rPr>
      </w:pPr>
    </w:p>
    <w:p w14:paraId="0AD09836" w14:textId="046F4D7B" w:rsidR="00F86F06" w:rsidRDefault="006339DA" w:rsidP="00F86F06">
      <w:pPr>
        <w:pStyle w:val="Title"/>
        <w:rPr>
          <w:bCs/>
          <w:sz w:val="22"/>
          <w:szCs w:val="22"/>
        </w:rPr>
      </w:pPr>
      <w:r w:rsidRPr="00F86F06">
        <w:rPr>
          <w:bCs/>
          <w:sz w:val="22"/>
          <w:szCs w:val="22"/>
        </w:rPr>
        <w:t xml:space="preserve">Meeting Agenda, </w:t>
      </w:r>
      <w:r w:rsidR="00495BEE">
        <w:rPr>
          <w:bCs/>
          <w:sz w:val="22"/>
          <w:szCs w:val="22"/>
        </w:rPr>
        <w:t>May 4, 2021</w:t>
      </w:r>
      <w:r w:rsidRPr="00F86F06">
        <w:rPr>
          <w:bCs/>
          <w:sz w:val="22"/>
          <w:szCs w:val="22"/>
        </w:rPr>
        <w:t xml:space="preserve"> at </w:t>
      </w:r>
      <w:r w:rsidR="00495BEE">
        <w:rPr>
          <w:bCs/>
          <w:sz w:val="22"/>
          <w:szCs w:val="22"/>
        </w:rPr>
        <w:t>2</w:t>
      </w:r>
      <w:r w:rsidRPr="00F86F06">
        <w:rPr>
          <w:bCs/>
          <w:sz w:val="22"/>
          <w:szCs w:val="22"/>
        </w:rPr>
        <w:t>:00 p.m. in Room 410-B</w:t>
      </w:r>
    </w:p>
    <w:p w14:paraId="7F6C1632" w14:textId="77777777" w:rsidR="006339DA" w:rsidRPr="00F86F06" w:rsidRDefault="006339DA" w:rsidP="00F86F06">
      <w:pPr>
        <w:pStyle w:val="Title"/>
        <w:rPr>
          <w:bCs/>
          <w:sz w:val="22"/>
          <w:szCs w:val="22"/>
        </w:rPr>
      </w:pPr>
      <w:r>
        <w:rPr>
          <w:b w:val="0"/>
          <w:bCs/>
          <w:sz w:val="22"/>
          <w:szCs w:val="22"/>
        </w:rPr>
        <w:t>Marin County Civic Center</w:t>
      </w:r>
    </w:p>
    <w:p w14:paraId="709C8069" w14:textId="7ED79E7F" w:rsidR="006339DA" w:rsidRDefault="006339DA" w:rsidP="006339DA">
      <w:pPr>
        <w:pStyle w:val="Title"/>
        <w:outlineLvl w:val="0"/>
        <w:rPr>
          <w:b w:val="0"/>
          <w:sz w:val="22"/>
          <w:szCs w:val="22"/>
        </w:rPr>
      </w:pPr>
      <w:r w:rsidRPr="00F86F06">
        <w:rPr>
          <w:b w:val="0"/>
          <w:sz w:val="22"/>
          <w:szCs w:val="22"/>
        </w:rPr>
        <w:t>3501 Civic Center Drive, San Rafael, CA. 94903</w:t>
      </w:r>
    </w:p>
    <w:p w14:paraId="30E87C47" w14:textId="77777777" w:rsidR="00D60E4D" w:rsidRDefault="00D60E4D" w:rsidP="006339DA">
      <w:pPr>
        <w:pStyle w:val="Title"/>
        <w:outlineLvl w:val="0"/>
        <w:rPr>
          <w:b w:val="0"/>
          <w:sz w:val="22"/>
          <w:szCs w:val="22"/>
        </w:rPr>
      </w:pPr>
    </w:p>
    <w:p w14:paraId="6637D8C0" w14:textId="77777777" w:rsidR="001D2B61" w:rsidRPr="00F86F06" w:rsidRDefault="001D2B61" w:rsidP="006339DA">
      <w:pPr>
        <w:pStyle w:val="Title"/>
        <w:outlineLvl w:val="0"/>
        <w:rPr>
          <w:b w:val="0"/>
          <w:sz w:val="22"/>
          <w:szCs w:val="22"/>
        </w:rPr>
      </w:pPr>
    </w:p>
    <w:p w14:paraId="2B82CEB9" w14:textId="722D9851" w:rsidR="006339DA" w:rsidRDefault="00F86F06" w:rsidP="001D2B61">
      <w:pPr>
        <w:tabs>
          <w:tab w:val="left" w:pos="1440"/>
        </w:tabs>
        <w:ind w:left="1440"/>
        <w:jc w:val="both"/>
        <w:rPr>
          <w:rFonts w:ascii="Arial" w:hAnsi="Arial" w:cs="Arial"/>
        </w:rPr>
      </w:pPr>
      <w:r>
        <w:rPr>
          <w:rFonts w:ascii="Arial" w:hAnsi="Arial" w:cs="Arial"/>
        </w:rPr>
        <w:t xml:space="preserve">1. </w:t>
      </w:r>
      <w:r w:rsidR="006339DA">
        <w:rPr>
          <w:rFonts w:ascii="Arial" w:hAnsi="Arial" w:cs="Arial"/>
        </w:rPr>
        <w:t xml:space="preserve">Call to Order </w:t>
      </w:r>
    </w:p>
    <w:p w14:paraId="54414E25" w14:textId="58633D25" w:rsidR="006339DA" w:rsidRDefault="006339DA" w:rsidP="001D2B61">
      <w:pPr>
        <w:tabs>
          <w:tab w:val="left" w:pos="1440"/>
        </w:tabs>
        <w:ind w:left="1440"/>
        <w:jc w:val="both"/>
        <w:rPr>
          <w:rFonts w:ascii="Arial" w:hAnsi="Arial" w:cs="Arial"/>
        </w:rPr>
      </w:pPr>
      <w:r>
        <w:rPr>
          <w:rFonts w:ascii="Arial" w:hAnsi="Arial" w:cs="Arial"/>
        </w:rPr>
        <w:t xml:space="preserve">2. Approval of minutes of </w:t>
      </w:r>
      <w:r w:rsidR="001D2B61">
        <w:rPr>
          <w:rFonts w:ascii="Arial" w:hAnsi="Arial" w:cs="Arial"/>
        </w:rPr>
        <w:t>October 2, 2019</w:t>
      </w:r>
    </w:p>
    <w:p w14:paraId="685FD175" w14:textId="7FC07050" w:rsidR="006339DA" w:rsidRDefault="006339DA" w:rsidP="001D2B61">
      <w:pPr>
        <w:ind w:left="1440"/>
        <w:jc w:val="both"/>
        <w:rPr>
          <w:rFonts w:ascii="Arial" w:hAnsi="Arial" w:cs="Arial"/>
        </w:rPr>
      </w:pPr>
      <w:r>
        <w:rPr>
          <w:rFonts w:ascii="Arial" w:hAnsi="Arial" w:cs="Arial"/>
        </w:rPr>
        <w:t>3. County Treasurer’s Report of Investments</w:t>
      </w:r>
    </w:p>
    <w:p w14:paraId="3EF3648C" w14:textId="14A1BB34" w:rsidR="006339DA" w:rsidRDefault="006339DA" w:rsidP="001D2B61">
      <w:pPr>
        <w:ind w:left="1440"/>
        <w:jc w:val="both"/>
        <w:rPr>
          <w:rFonts w:ascii="Arial" w:hAnsi="Arial" w:cs="Arial"/>
        </w:rPr>
      </w:pPr>
      <w:r>
        <w:rPr>
          <w:rFonts w:ascii="Arial" w:hAnsi="Arial" w:cs="Arial"/>
        </w:rPr>
        <w:t>4. Review Auditor’s Master List of Checks issued</w:t>
      </w:r>
    </w:p>
    <w:p w14:paraId="1A65300B" w14:textId="09E34477" w:rsidR="006339DA" w:rsidRDefault="006339DA" w:rsidP="001D2B61">
      <w:pPr>
        <w:ind w:left="1440"/>
        <w:jc w:val="both"/>
        <w:rPr>
          <w:rFonts w:ascii="Arial" w:hAnsi="Arial" w:cs="Arial"/>
        </w:rPr>
      </w:pPr>
      <w:r>
        <w:rPr>
          <w:rFonts w:ascii="Arial" w:hAnsi="Arial" w:cs="Arial"/>
        </w:rPr>
        <w:t xml:space="preserve">5. Review of </w:t>
      </w:r>
      <w:r w:rsidR="00D60E4D">
        <w:rPr>
          <w:rFonts w:ascii="Arial" w:hAnsi="Arial" w:cs="Arial"/>
        </w:rPr>
        <w:t>Vendor Detail List</w:t>
      </w:r>
    </w:p>
    <w:p w14:paraId="36F0E007" w14:textId="6A37E967" w:rsidR="006339DA" w:rsidRDefault="006339DA" w:rsidP="001D2B61">
      <w:pPr>
        <w:ind w:left="1440"/>
        <w:jc w:val="both"/>
        <w:rPr>
          <w:rFonts w:ascii="Arial" w:hAnsi="Arial" w:cs="Arial"/>
        </w:rPr>
      </w:pPr>
      <w:r>
        <w:rPr>
          <w:rFonts w:ascii="Arial" w:hAnsi="Arial" w:cs="Arial"/>
        </w:rPr>
        <w:t xml:space="preserve">6. </w:t>
      </w:r>
      <w:r w:rsidR="00525E8E">
        <w:rPr>
          <w:rFonts w:ascii="Arial" w:hAnsi="Arial" w:cs="Arial"/>
        </w:rPr>
        <w:t>Report on BOS Agenda items</w:t>
      </w:r>
    </w:p>
    <w:p w14:paraId="1A4EDBBB" w14:textId="662A7384" w:rsidR="008A551E" w:rsidRDefault="008A551E" w:rsidP="001D2B61">
      <w:pPr>
        <w:ind w:left="1440"/>
        <w:jc w:val="both"/>
        <w:rPr>
          <w:rFonts w:ascii="Arial" w:hAnsi="Arial" w:cs="Arial"/>
        </w:rPr>
      </w:pPr>
      <w:r>
        <w:rPr>
          <w:rFonts w:ascii="Arial" w:hAnsi="Arial" w:cs="Arial"/>
        </w:rPr>
        <w:t xml:space="preserve">7. </w:t>
      </w:r>
      <w:r w:rsidR="00525E8E">
        <w:rPr>
          <w:rFonts w:ascii="Arial" w:hAnsi="Arial" w:cs="Arial"/>
        </w:rPr>
        <w:t>Review of Affidavits pending/sent</w:t>
      </w:r>
    </w:p>
    <w:p w14:paraId="0DE5C5D8" w14:textId="267FDE86" w:rsidR="008A551E" w:rsidRDefault="008A551E" w:rsidP="001D2B61">
      <w:pPr>
        <w:ind w:left="1440"/>
        <w:jc w:val="both"/>
        <w:rPr>
          <w:rFonts w:ascii="Arial" w:hAnsi="Arial" w:cs="Arial"/>
        </w:rPr>
      </w:pPr>
      <w:r>
        <w:rPr>
          <w:rFonts w:ascii="Arial" w:hAnsi="Arial" w:cs="Arial"/>
        </w:rPr>
        <w:t xml:space="preserve">8. </w:t>
      </w:r>
      <w:r w:rsidR="00D60E4D">
        <w:rPr>
          <w:rFonts w:ascii="Arial" w:hAnsi="Arial" w:cs="Arial"/>
        </w:rPr>
        <w:t>Overrides requested</w:t>
      </w:r>
    </w:p>
    <w:p w14:paraId="21BD0000" w14:textId="54E4C7B2" w:rsidR="006339DA" w:rsidRDefault="006339DA" w:rsidP="001D2B61">
      <w:pPr>
        <w:ind w:left="1440"/>
        <w:jc w:val="both"/>
        <w:rPr>
          <w:rFonts w:ascii="Arial" w:hAnsi="Arial" w:cs="Arial"/>
        </w:rPr>
      </w:pPr>
      <w:r>
        <w:rPr>
          <w:rFonts w:ascii="Arial" w:hAnsi="Arial" w:cs="Arial"/>
        </w:rPr>
        <w:t xml:space="preserve">9. </w:t>
      </w:r>
      <w:r w:rsidR="008A551E">
        <w:rPr>
          <w:rFonts w:ascii="Arial" w:hAnsi="Arial" w:cs="Arial"/>
        </w:rPr>
        <w:t>Department progress re: time limited overrides</w:t>
      </w:r>
    </w:p>
    <w:p w14:paraId="67CDD087" w14:textId="271399AE" w:rsidR="008A551E" w:rsidRDefault="00D60E4D" w:rsidP="001D2B61">
      <w:pPr>
        <w:ind w:left="1440"/>
        <w:jc w:val="both"/>
        <w:rPr>
          <w:rFonts w:ascii="Arial" w:hAnsi="Arial" w:cs="Arial"/>
        </w:rPr>
      </w:pPr>
      <w:r>
        <w:rPr>
          <w:rFonts w:ascii="Arial" w:hAnsi="Arial" w:cs="Arial"/>
        </w:rPr>
        <w:t>10. R</w:t>
      </w:r>
      <w:r w:rsidR="008A551E">
        <w:rPr>
          <w:rFonts w:ascii="Arial" w:hAnsi="Arial" w:cs="Arial"/>
        </w:rPr>
        <w:t>eview of Bylaws</w:t>
      </w:r>
    </w:p>
    <w:p w14:paraId="68FA9E1B" w14:textId="5378A161" w:rsidR="008A551E" w:rsidRDefault="00D60E4D" w:rsidP="001D2B61">
      <w:pPr>
        <w:ind w:left="1440"/>
        <w:jc w:val="both"/>
        <w:rPr>
          <w:rFonts w:ascii="Arial" w:hAnsi="Arial" w:cs="Arial"/>
        </w:rPr>
      </w:pPr>
      <w:r>
        <w:rPr>
          <w:rFonts w:ascii="Arial" w:hAnsi="Arial" w:cs="Arial"/>
        </w:rPr>
        <w:t>11</w:t>
      </w:r>
      <w:r w:rsidR="008A551E">
        <w:rPr>
          <w:rFonts w:ascii="Arial" w:hAnsi="Arial" w:cs="Arial"/>
        </w:rPr>
        <w:t xml:space="preserve">. </w:t>
      </w:r>
      <w:r>
        <w:rPr>
          <w:rFonts w:ascii="Arial" w:hAnsi="Arial" w:cs="Arial"/>
        </w:rPr>
        <w:t>E</w:t>
      </w:r>
      <w:r w:rsidR="008A551E">
        <w:rPr>
          <w:rFonts w:ascii="Arial" w:hAnsi="Arial" w:cs="Arial"/>
        </w:rPr>
        <w:t>lection of officers</w:t>
      </w:r>
    </w:p>
    <w:p w14:paraId="06D0CF48" w14:textId="66A72688" w:rsidR="008A551E" w:rsidRDefault="00D60E4D" w:rsidP="001D2B61">
      <w:pPr>
        <w:ind w:left="1440"/>
        <w:jc w:val="both"/>
        <w:rPr>
          <w:rFonts w:ascii="Arial" w:hAnsi="Arial" w:cs="Arial"/>
        </w:rPr>
      </w:pPr>
      <w:r>
        <w:rPr>
          <w:rFonts w:ascii="Arial" w:hAnsi="Arial" w:cs="Arial"/>
        </w:rPr>
        <w:t>12</w:t>
      </w:r>
      <w:r w:rsidR="008A551E">
        <w:rPr>
          <w:rFonts w:ascii="Arial" w:hAnsi="Arial" w:cs="Arial"/>
        </w:rPr>
        <w:t xml:space="preserve">. </w:t>
      </w:r>
      <w:r>
        <w:rPr>
          <w:rFonts w:ascii="Arial" w:hAnsi="Arial" w:cs="Arial"/>
        </w:rPr>
        <w:t>C</w:t>
      </w:r>
      <w:r w:rsidR="008A551E">
        <w:rPr>
          <w:rFonts w:ascii="Arial" w:hAnsi="Arial" w:cs="Arial"/>
        </w:rPr>
        <w:t>onsideration of reviewing sample items from third party vendors</w:t>
      </w:r>
    </w:p>
    <w:p w14:paraId="6AB5B38C" w14:textId="43125B12" w:rsidR="006339DA" w:rsidRDefault="006339DA" w:rsidP="001D2B61">
      <w:pPr>
        <w:ind w:left="1440"/>
        <w:jc w:val="both"/>
        <w:rPr>
          <w:rFonts w:ascii="Arial" w:hAnsi="Arial" w:cs="Arial"/>
        </w:rPr>
      </w:pPr>
      <w:r>
        <w:rPr>
          <w:rFonts w:ascii="Arial" w:hAnsi="Arial" w:cs="Arial"/>
        </w:rPr>
        <w:t>1</w:t>
      </w:r>
      <w:r w:rsidR="00D60E4D">
        <w:rPr>
          <w:rFonts w:ascii="Arial" w:hAnsi="Arial" w:cs="Arial"/>
        </w:rPr>
        <w:t>3</w:t>
      </w:r>
      <w:r>
        <w:rPr>
          <w:rFonts w:ascii="Arial" w:hAnsi="Arial" w:cs="Arial"/>
        </w:rPr>
        <w:t xml:space="preserve">. </w:t>
      </w:r>
      <w:r w:rsidR="008A551E">
        <w:rPr>
          <w:rFonts w:ascii="Arial" w:hAnsi="Arial" w:cs="Arial"/>
        </w:rPr>
        <w:t>Open time</w:t>
      </w:r>
    </w:p>
    <w:p w14:paraId="0310B026" w14:textId="35B1BE20" w:rsidR="00D60E4D" w:rsidRDefault="006339DA" w:rsidP="001D2B61">
      <w:pPr>
        <w:ind w:left="1440"/>
        <w:jc w:val="both"/>
        <w:rPr>
          <w:rFonts w:ascii="Arial" w:hAnsi="Arial" w:cs="Arial"/>
        </w:rPr>
      </w:pPr>
      <w:r>
        <w:rPr>
          <w:rFonts w:ascii="Arial" w:hAnsi="Arial" w:cs="Arial"/>
        </w:rPr>
        <w:t>1</w:t>
      </w:r>
      <w:r w:rsidR="00D60E4D">
        <w:rPr>
          <w:rFonts w:ascii="Arial" w:hAnsi="Arial" w:cs="Arial"/>
        </w:rPr>
        <w:t>4</w:t>
      </w:r>
      <w:r>
        <w:rPr>
          <w:rFonts w:ascii="Arial" w:hAnsi="Arial" w:cs="Arial"/>
        </w:rPr>
        <w:t xml:space="preserve">. </w:t>
      </w:r>
      <w:r w:rsidR="00D60E4D">
        <w:rPr>
          <w:rFonts w:ascii="Arial" w:hAnsi="Arial" w:cs="Arial"/>
        </w:rPr>
        <w:t>Adjournment</w:t>
      </w:r>
    </w:p>
    <w:p w14:paraId="50F52AEC" w14:textId="77777777" w:rsidR="001D2B61" w:rsidRDefault="001D2B61" w:rsidP="001D2B61">
      <w:pPr>
        <w:ind w:left="1440"/>
        <w:rPr>
          <w:rFonts w:cstheme="minorHAnsi"/>
          <w:sz w:val="24"/>
          <w:szCs w:val="24"/>
        </w:rPr>
      </w:pPr>
    </w:p>
    <w:p w14:paraId="4296898A" w14:textId="6423F29B" w:rsidR="006339DA" w:rsidRDefault="006339DA" w:rsidP="001D2B61">
      <w:pPr>
        <w:ind w:left="720"/>
        <w:jc w:val="center"/>
        <w:rPr>
          <w:rFonts w:ascii="CG Times (W1)" w:hAnsi="CG Times (W1)"/>
        </w:rPr>
      </w:pPr>
      <w:r>
        <w:rPr>
          <w:rFonts w:ascii="CG Times (W1)" w:hAnsi="CG Times (W1)"/>
          <w:noProof/>
        </w:rPr>
        <w:drawing>
          <wp:inline distT="0" distB="0" distL="0" distR="0" wp14:anchorId="23AE531A" wp14:editId="71B6DDD1">
            <wp:extent cx="514350"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14350" cy="533400"/>
                    </a:xfrm>
                    <a:prstGeom prst="rect">
                      <a:avLst/>
                    </a:prstGeom>
                    <a:noFill/>
                    <a:ln w="9525">
                      <a:noFill/>
                      <a:miter lim="800000"/>
                      <a:headEnd/>
                      <a:tailEnd/>
                    </a:ln>
                  </pic:spPr>
                </pic:pic>
              </a:graphicData>
            </a:graphic>
          </wp:inline>
        </w:drawing>
      </w:r>
      <w:r w:rsidR="001D2B61">
        <w:rPr>
          <w:rFonts w:ascii="CG Times (W1)" w:hAnsi="CG Times (W1)"/>
        </w:rPr>
        <w:tab/>
      </w:r>
      <w:r>
        <w:rPr>
          <w:rFonts w:ascii="CG Times (W1)" w:hAnsi="CG Times (W1)"/>
          <w:noProof/>
        </w:rPr>
        <w:drawing>
          <wp:inline distT="0" distB="0" distL="0" distR="0" wp14:anchorId="0F687ECF" wp14:editId="36D5839F">
            <wp:extent cx="523875" cy="552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23875" cy="552450"/>
                    </a:xfrm>
                    <a:prstGeom prst="rect">
                      <a:avLst/>
                    </a:prstGeom>
                    <a:noFill/>
                    <a:ln w="9525">
                      <a:noFill/>
                      <a:miter lim="800000"/>
                      <a:headEnd/>
                      <a:tailEnd/>
                    </a:ln>
                  </pic:spPr>
                </pic:pic>
              </a:graphicData>
            </a:graphic>
          </wp:inline>
        </w:drawing>
      </w:r>
      <w:r w:rsidR="001D2B61">
        <w:rPr>
          <w:rFonts w:ascii="CG Times (W1)" w:hAnsi="CG Times (W1)"/>
        </w:rPr>
        <w:tab/>
      </w:r>
      <w:r>
        <w:rPr>
          <w:rFonts w:ascii="CG Times (W1)" w:hAnsi="CG Times (W1)"/>
          <w:noProof/>
        </w:rPr>
        <w:drawing>
          <wp:inline distT="0" distB="0" distL="0" distR="0" wp14:anchorId="38273BFC" wp14:editId="5435087D">
            <wp:extent cx="523875" cy="495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23875" cy="495300"/>
                    </a:xfrm>
                    <a:prstGeom prst="rect">
                      <a:avLst/>
                    </a:prstGeom>
                    <a:noFill/>
                    <a:ln w="9525">
                      <a:noFill/>
                      <a:miter lim="800000"/>
                      <a:headEnd/>
                      <a:tailEnd/>
                    </a:ln>
                  </pic:spPr>
                </pic:pic>
              </a:graphicData>
            </a:graphic>
          </wp:inline>
        </w:drawing>
      </w:r>
      <w:r w:rsidR="001D2B61">
        <w:rPr>
          <w:rFonts w:ascii="CG Times (W1)" w:hAnsi="CG Times (W1)"/>
        </w:rPr>
        <w:tab/>
      </w:r>
      <w:r>
        <w:rPr>
          <w:rFonts w:ascii="CG Times (W1)" w:hAnsi="CG Times (W1)"/>
          <w:noProof/>
        </w:rPr>
        <w:drawing>
          <wp:inline distT="0" distB="0" distL="0" distR="0" wp14:anchorId="11938A5D" wp14:editId="642FDB4A">
            <wp:extent cx="609600" cy="533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09600" cy="533400"/>
                    </a:xfrm>
                    <a:prstGeom prst="rect">
                      <a:avLst/>
                    </a:prstGeom>
                    <a:noFill/>
                    <a:ln w="9525">
                      <a:noFill/>
                      <a:miter lim="800000"/>
                      <a:headEnd/>
                      <a:tailEnd/>
                    </a:ln>
                  </pic:spPr>
                </pic:pic>
              </a:graphicData>
            </a:graphic>
          </wp:inline>
        </w:drawing>
      </w:r>
      <w:r w:rsidR="006D5AC4">
        <w:rPr>
          <w:rFonts w:ascii="CG Times (W1)" w:hAnsi="CG Times (W1)"/>
        </w:rPr>
        <w:tab/>
      </w:r>
      <w:r>
        <w:rPr>
          <w:rFonts w:ascii="CG Times (W1)" w:hAnsi="CG Times (W1)"/>
          <w:noProof/>
        </w:rPr>
        <w:drawing>
          <wp:inline distT="0" distB="0" distL="0" distR="0" wp14:anchorId="1AFC86FE" wp14:editId="64D38155">
            <wp:extent cx="447675" cy="4667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14:paraId="24275152" w14:textId="77777777" w:rsidR="006339DA" w:rsidRDefault="006339DA" w:rsidP="006339DA">
      <w:pPr>
        <w:tabs>
          <w:tab w:val="left" w:pos="1440"/>
          <w:tab w:val="left" w:pos="3960"/>
          <w:tab w:val="left" w:pos="6660"/>
          <w:tab w:val="right" w:pos="10170"/>
        </w:tabs>
        <w:ind w:left="270" w:right="720"/>
        <w:rPr>
          <w:sz w:val="10"/>
        </w:rPr>
      </w:pPr>
    </w:p>
    <w:p w14:paraId="68732063" w14:textId="32425488" w:rsidR="008A19E8" w:rsidRPr="00D60E4D" w:rsidRDefault="006339DA" w:rsidP="00D60E4D">
      <w:pPr>
        <w:pBdr>
          <w:top w:val="single" w:sz="6" w:space="1" w:color="auto"/>
          <w:left w:val="single" w:sz="6" w:space="0" w:color="auto"/>
          <w:bottom w:val="single" w:sz="6" w:space="1" w:color="auto"/>
          <w:right w:val="single" w:sz="6" w:space="4" w:color="auto"/>
        </w:pBdr>
        <w:ind w:left="360" w:right="360"/>
        <w:rPr>
          <w:sz w:val="18"/>
          <w:szCs w:val="18"/>
        </w:rPr>
      </w:pPr>
      <w:r w:rsidRPr="00F86F06">
        <w:rPr>
          <w:sz w:val="18"/>
          <w:szCs w:val="18"/>
        </w:rPr>
        <w:t xml:space="preserve">In accordance with the Americans with Disabilities Act, if you need special assistance (i.e. auxiliary aids or services) in order to participate in this public meeting, please contact the Clerk of the Board of Supervisors by calling (415) 473-4381 (TTY) or (415) 473-7331 (voice) </w:t>
      </w:r>
      <w:r w:rsidRPr="00F86F06">
        <w:rPr>
          <w:b/>
          <w:sz w:val="18"/>
          <w:szCs w:val="18"/>
        </w:rPr>
        <w:t>at least</w:t>
      </w:r>
      <w:r w:rsidRPr="00F86F06">
        <w:rPr>
          <w:sz w:val="18"/>
          <w:szCs w:val="18"/>
        </w:rPr>
        <w:t xml:space="preserve"> five (5) business days prior to the meeting. </w:t>
      </w:r>
    </w:p>
    <w:sectPr w:rsidR="008A19E8" w:rsidRPr="00D60E4D" w:rsidSect="008A1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39DA"/>
    <w:rsid w:val="001D2B61"/>
    <w:rsid w:val="00495BEE"/>
    <w:rsid w:val="00525E8E"/>
    <w:rsid w:val="005E435A"/>
    <w:rsid w:val="006339DA"/>
    <w:rsid w:val="006D5AC4"/>
    <w:rsid w:val="008837ED"/>
    <w:rsid w:val="008A19E8"/>
    <w:rsid w:val="008A551E"/>
    <w:rsid w:val="008B75A6"/>
    <w:rsid w:val="00D60E4D"/>
    <w:rsid w:val="00F8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A5E2"/>
  <w15:docId w15:val="{37E97A8D-5DAF-40E0-96D7-39B7C989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339DA"/>
    <w:rPr>
      <w:color w:val="0000FF"/>
      <w:u w:val="single"/>
    </w:rPr>
  </w:style>
  <w:style w:type="paragraph" w:styleId="Footer">
    <w:name w:val="footer"/>
    <w:basedOn w:val="Normal"/>
    <w:link w:val="FooterChar"/>
    <w:unhideWhenUsed/>
    <w:rsid w:val="006339DA"/>
    <w:pPr>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rsid w:val="006339DA"/>
    <w:rPr>
      <w:rFonts w:ascii="Arial" w:eastAsia="Times New Roman" w:hAnsi="Arial" w:cs="Times New Roman"/>
      <w:szCs w:val="20"/>
    </w:rPr>
  </w:style>
  <w:style w:type="paragraph" w:styleId="Title">
    <w:name w:val="Title"/>
    <w:basedOn w:val="Normal"/>
    <w:link w:val="TitleChar"/>
    <w:qFormat/>
    <w:rsid w:val="006339DA"/>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339DA"/>
    <w:rPr>
      <w:rFonts w:ascii="Arial" w:eastAsia="Times New Roman" w:hAnsi="Arial" w:cs="Times New Roman"/>
      <w:b/>
      <w:sz w:val="24"/>
      <w:szCs w:val="20"/>
    </w:rPr>
  </w:style>
  <w:style w:type="paragraph" w:styleId="BodyText">
    <w:name w:val="Body Text"/>
    <w:basedOn w:val="Normal"/>
    <w:link w:val="BodyTextChar"/>
    <w:semiHidden/>
    <w:unhideWhenUsed/>
    <w:rsid w:val="006339DA"/>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6339D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3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DA"/>
    <w:rPr>
      <w:rFonts w:ascii="Tahoma" w:hAnsi="Tahoma" w:cs="Tahoma"/>
      <w:sz w:val="16"/>
      <w:szCs w:val="16"/>
    </w:rPr>
  </w:style>
  <w:style w:type="character" w:styleId="FollowedHyperlink">
    <w:name w:val="FollowedHyperlink"/>
    <w:basedOn w:val="DefaultParagraphFont"/>
    <w:uiPriority w:val="99"/>
    <w:semiHidden/>
    <w:unhideWhenUsed/>
    <w:rsid w:val="00495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39772">
      <w:bodyDiv w:val="1"/>
      <w:marLeft w:val="0"/>
      <w:marRight w:val="0"/>
      <w:marTop w:val="0"/>
      <w:marBottom w:val="0"/>
      <w:divBdr>
        <w:top w:val="none" w:sz="0" w:space="0" w:color="auto"/>
        <w:left w:val="none" w:sz="0" w:space="0" w:color="auto"/>
        <w:bottom w:val="none" w:sz="0" w:space="0" w:color="auto"/>
        <w:right w:val="none" w:sz="0" w:space="0" w:color="auto"/>
      </w:divBdr>
    </w:div>
    <w:div w:id="923346322">
      <w:bodyDiv w:val="1"/>
      <w:marLeft w:val="0"/>
      <w:marRight w:val="0"/>
      <w:marTop w:val="0"/>
      <w:marBottom w:val="0"/>
      <w:divBdr>
        <w:top w:val="none" w:sz="0" w:space="0" w:color="auto"/>
        <w:left w:val="none" w:sz="0" w:space="0" w:color="auto"/>
        <w:bottom w:val="none" w:sz="0" w:space="0" w:color="auto"/>
        <w:right w:val="none" w:sz="0" w:space="0" w:color="auto"/>
      </w:divBdr>
    </w:div>
    <w:div w:id="14604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Stewart,Toni</cp:lastModifiedBy>
  <cp:revision>3</cp:revision>
  <cp:lastPrinted>2021-04-06T16:48:00Z</cp:lastPrinted>
  <dcterms:created xsi:type="dcterms:W3CDTF">2021-04-08T22:18:00Z</dcterms:created>
  <dcterms:modified xsi:type="dcterms:W3CDTF">2021-04-20T17:53:00Z</dcterms:modified>
</cp:coreProperties>
</file>